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ind w:right="-499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right="-499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835" w:leader="none"/>
        </w:tabs>
        <w:ind w:left="10773" w:right="-499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</w:rPr>
        <w:t xml:space="preserve">Додаток </w:t>
      </w:r>
      <w:r>
        <w:rPr>
          <w:color w:val="000000"/>
          <w:sz w:val="16"/>
          <w:szCs w:val="16"/>
          <w:lang w:val="ru-RU"/>
        </w:rPr>
        <w:t>1</w:t>
      </w:r>
    </w:p>
    <w:p>
      <w:pPr>
        <w:pStyle w:val="Normal"/>
        <w:ind w:left="10773" w:right="-33"/>
        <w:jc w:val="both"/>
        <w:rPr>
          <w:sz w:val="16"/>
          <w:szCs w:val="16"/>
          <w:lang w:val="ru-RU"/>
        </w:rPr>
      </w:pPr>
      <w:r>
        <w:rPr>
          <w:sz w:val="16"/>
          <w:szCs w:val="16"/>
        </w:rPr>
        <w:t xml:space="preserve">до Порядку складання бюджетної звітності розпорядниками та одержувачами бюджетних коштів, </w:t>
      </w:r>
      <w:r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>
      <w:pPr>
        <w:pStyle w:val="Normal"/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>пункт 1 розділу</w:t>
      </w:r>
    </w:p>
    <w:tbl>
      <w:tblPr>
        <w:tblW w:w="1502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>
        <w:trPr/>
        <w:tc>
          <w:tcPr>
            <w:tcW w:w="15026" w:type="dxa"/>
            <w:gridSpan w:val="10"/>
            <w:tcBorders/>
          </w:tcPr>
          <w:p>
            <w:pPr>
              <w:pStyle w:val="Normal"/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Звіт</w:t>
            </w:r>
          </w:p>
        </w:tc>
      </w:tr>
      <w:tr>
        <w:trPr/>
        <w:tc>
          <w:tcPr>
            <w:tcW w:w="15026" w:type="dxa"/>
            <w:gridSpan w:val="10"/>
            <w:tcBorders/>
          </w:tcPr>
          <w:p>
            <w:pPr>
              <w:pStyle w:val="Normal"/>
              <w:ind w:right="-1185"/>
              <w:jc w:val="center"/>
              <w:rPr>
                <w:szCs w:val="28"/>
              </w:rPr>
            </w:pPr>
            <w:r>
              <w:rPr>
                <w:b/>
                <w:bCs/>
              </w:rPr>
              <w:t>про надходження та використання коштів загального фонду (форма №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>
              <w:rPr>
                <w:b/>
                <w:bCs/>
                <w:u w:val="single"/>
              </w:rPr>
              <w:t>№</w:t>
            </w:r>
            <w:r>
              <w:rPr>
                <w:b/>
                <w:bCs/>
                <w:u w:val="single"/>
                <w:lang w:val="ru-RU"/>
              </w:rPr>
              <w:t xml:space="preserve"> </w:t>
            </w:r>
            <w:r>
              <w:rPr>
                <w:b/>
                <w:bCs/>
                <w:u w:val="single"/>
              </w:rPr>
              <w:t>2м)</w:t>
            </w:r>
          </w:p>
        </w:tc>
      </w:tr>
      <w:tr>
        <w:trPr/>
        <w:tc>
          <w:tcPr>
            <w:tcW w:w="13750" w:type="dxa"/>
            <w:gridSpan w:val="9"/>
            <w:tcBorders/>
          </w:tcPr>
          <w:p>
            <w:pPr>
              <w:pStyle w:val="Normal"/>
              <w:ind w:right="-2376"/>
              <w:rPr/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>
              <w:rPr>
                <w:b/>
                <w:sz w:val="20"/>
                <w:u w:val="single"/>
              </w:rPr>
              <w:t>за__</w:t>
            </w:r>
            <w:r>
              <w:rPr>
                <w:b/>
                <w:sz w:val="20"/>
                <w:u w:val="single"/>
                <w:lang w:val="ru-RU"/>
              </w:rPr>
              <w:t xml:space="preserve"> лютий </w:t>
            </w:r>
            <w:r>
              <w:rPr>
                <w:b/>
                <w:sz w:val="20"/>
                <w:u w:val="single"/>
              </w:rPr>
              <w:t xml:space="preserve">  м-ць__</w:t>
            </w:r>
            <w:r>
              <w:rPr>
                <w:b/>
                <w:bCs/>
                <w:sz w:val="20"/>
                <w:u w:val="single"/>
              </w:rPr>
              <w:t xml:space="preserve"> 20</w:t>
            </w:r>
            <w:r>
              <w:rPr>
                <w:b/>
                <w:bCs/>
                <w:sz w:val="20"/>
                <w:u w:val="single"/>
                <w:lang w:val="ru-RU"/>
              </w:rPr>
              <w:t>24</w:t>
            </w:r>
            <w:r>
              <w:rPr>
                <w:b/>
                <w:bCs/>
                <w:sz w:val="20"/>
                <w:u w:val="single"/>
              </w:rPr>
              <w:t xml:space="preserve"> р.</w:t>
            </w:r>
            <w:r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Коди</w:t>
            </w:r>
          </w:p>
        </w:tc>
      </w:tr>
      <w:tr>
        <w:trPr/>
        <w:tc>
          <w:tcPr>
            <w:tcW w:w="13750" w:type="dxa"/>
            <w:gridSpan w:val="9"/>
            <w:tcBorders>
              <w:right w:val="single" w:sz="4" w:space="0" w:color="000000"/>
            </w:tcBorders>
          </w:tcPr>
          <w:p>
            <w:pPr>
              <w:pStyle w:val="Normal"/>
              <w:ind w:right="-1185"/>
              <w:jc w:val="both"/>
              <w:rPr/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>К У  «</w:t>
            </w:r>
            <w:r>
              <w:rPr>
                <w:b/>
                <w:sz w:val="20"/>
                <w:u w:val="single"/>
                <w:lang w:val="ru-RU"/>
              </w:rPr>
              <w:t>Ц</w:t>
            </w:r>
            <w:r>
              <w:rPr>
                <w:b/>
                <w:sz w:val="20"/>
                <w:u w:val="single"/>
              </w:rPr>
              <w:t>ентр по  обслуговуванню закладів та установ освіти» Ренійської  міської  ради                              З</w:t>
            </w:r>
            <w:r>
              <w:rPr>
                <w:b/>
                <w:sz w:val="20"/>
                <w:u w:val="single"/>
                <w:lang w:val="ru-RU"/>
              </w:rPr>
              <w:t>ЗС</w:t>
            </w:r>
            <w:r>
              <w:rPr>
                <w:b/>
                <w:sz w:val="20"/>
                <w:u w:val="single"/>
              </w:rPr>
              <w:t>О №  3</w:t>
            </w:r>
            <w:r>
              <w:rPr>
                <w:sz w:val="20"/>
              </w:rPr>
              <w:t>____</w:t>
            </w:r>
            <w:r>
              <w:rPr>
                <w:sz w:val="20"/>
                <w:lang w:val="ru-RU"/>
              </w:rPr>
              <w:t xml:space="preserve">               </w:t>
            </w:r>
            <w:r>
              <w:rPr>
                <w:sz w:val="20"/>
              </w:rPr>
              <w:t xml:space="preserve"> за ЄДРПОУ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42260364</w:t>
            </w:r>
          </w:p>
        </w:tc>
      </w:tr>
      <w:tr>
        <w:trPr/>
        <w:tc>
          <w:tcPr>
            <w:tcW w:w="13750" w:type="dxa"/>
            <w:gridSpan w:val="9"/>
            <w:tcBorders>
              <w:right w:val="single" w:sz="4" w:space="0" w:color="000000"/>
            </w:tcBorders>
          </w:tcPr>
          <w:p>
            <w:pPr>
              <w:pStyle w:val="Normal"/>
              <w:ind w:right="-1185"/>
              <w:jc w:val="both"/>
              <w:rPr/>
            </w:pPr>
            <w:r>
              <w:rPr>
                <w:b/>
                <w:bCs/>
                <w:sz w:val="20"/>
              </w:rPr>
              <w:t>Територія</w:t>
            </w:r>
            <w:r>
              <w:rPr>
                <w:bCs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>68800, Одеська обл., Ренійський  р-он., м. Рені, вул. Гагарина, № 19</w:t>
            </w:r>
            <w:r>
              <w:rPr>
                <w:sz w:val="20"/>
              </w:rPr>
              <w:t>_________________________________________________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>
        <w:trPr/>
        <w:tc>
          <w:tcPr>
            <w:tcW w:w="13750" w:type="dxa"/>
            <w:gridSpan w:val="9"/>
            <w:tcBorders>
              <w:right w:val="single" w:sz="4" w:space="0" w:color="000000"/>
            </w:tcBorders>
          </w:tcPr>
          <w:p>
            <w:pPr>
              <w:pStyle w:val="Normal"/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Організаційно-правова форма господарювання </w:t>
            </w:r>
            <w:r>
              <w:rPr>
                <w:sz w:val="20"/>
              </w:rPr>
              <w:t>_</w:t>
            </w:r>
            <w:r>
              <w:rPr>
                <w:b/>
                <w:sz w:val="20"/>
                <w:u w:val="single"/>
                <w:lang w:val="ru-RU"/>
              </w:rPr>
              <w:t>Комунальна  орган</w:t>
            </w:r>
            <w:r>
              <w:rPr>
                <w:b/>
                <w:sz w:val="20"/>
                <w:u w:val="single"/>
              </w:rPr>
              <w:t>ізація  (установа,  заклад)</w:t>
            </w:r>
            <w:r>
              <w:rPr>
                <w:sz w:val="20"/>
              </w:rPr>
              <w:t>____________________________________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bCs/>
                <w:sz w:val="20"/>
              </w:rPr>
              <w:t>за КОПФГ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>
              <w:rPr>
                <w:sz w:val="20"/>
              </w:rPr>
              <w:t>430</w:t>
            </w:r>
          </w:p>
        </w:tc>
      </w:tr>
      <w:tr>
        <w:trPr/>
        <w:tc>
          <w:tcPr>
            <w:tcW w:w="13750" w:type="dxa"/>
            <w:gridSpan w:val="9"/>
            <w:tcBorders/>
          </w:tcPr>
          <w:p>
            <w:pPr>
              <w:pStyle w:val="Normal"/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відомчої класифікації видатків та кредитування державного бюджету </w:t>
            </w: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right="-118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/>
        <w:tc>
          <w:tcPr>
            <w:tcW w:w="13750" w:type="dxa"/>
            <w:gridSpan w:val="9"/>
            <w:tcBorders/>
          </w:tcPr>
          <w:p>
            <w:pPr>
              <w:pStyle w:val="Normal"/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 xml:space="preserve">Код та назва програмної класифікації видатків та кредитування державного бюджету </w:t>
            </w:r>
            <w:r>
              <w:rPr>
                <w:sz w:val="20"/>
              </w:rPr>
              <w:t>__________________________________________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</w:r>
          </w:p>
        </w:tc>
      </w:tr>
      <w:tr>
        <w:trPr/>
        <w:tc>
          <w:tcPr>
            <w:tcW w:w="13750" w:type="dxa"/>
            <w:gridSpan w:val="9"/>
            <w:tcBorders/>
          </w:tcPr>
          <w:p>
            <w:pPr>
              <w:pStyle w:val="Normal"/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та кредитування місцевих бюджетів </w:t>
            </w:r>
            <w:r>
              <w:rPr>
                <w:sz w:val="20"/>
              </w:rPr>
              <w:t>_0</w:t>
            </w:r>
            <w:r>
              <w:rPr>
                <w:b/>
                <w:sz w:val="20"/>
                <w:u w:val="single"/>
              </w:rPr>
              <w:t>6   Виконавчі   органи  місцевих  рад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</w:tr>
      <w:tr>
        <w:trPr>
          <w:trHeight w:val="139" w:hRule="atLeast"/>
          <w:cantSplit w:val="true"/>
        </w:trPr>
        <w:tc>
          <w:tcPr>
            <w:tcW w:w="13750" w:type="dxa"/>
            <w:gridSpan w:val="9"/>
            <w:tcBorders/>
          </w:tcPr>
          <w:p>
            <w:pPr>
              <w:pStyle w:val="Normal"/>
              <w:tabs>
                <w:tab w:val="clear" w:pos="708"/>
                <w:tab w:val="left" w:pos="13024" w:leader="none"/>
              </w:tabs>
              <w:spacing w:before="0" w:after="120"/>
              <w:ind w:right="-1185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програмної класифікації видатків та кредитування місцевих бюджетів (</w:t>
            </w:r>
            <w:r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  <w:br/>
              <w:t>видатків та кредитування місцевих бюджетів / Тимчасової класифікації видатків та кредитування для бюджетів</w:t>
              <w:br/>
              <w:t xml:space="preserve">місцевого самоврядування, які не застосовують програмно-цільового методу) </w:t>
            </w:r>
            <w:r>
              <w:rPr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>061 1021  Надання загальн. середн.освіти  загальн.освітн.навч.заклад.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ind w:right="-118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13750" w:type="dxa"/>
            <w:gridSpan w:val="9"/>
            <w:tcBorders>
              <w:bottom w:val="double" w:sz="4" w:space="0" w:color="000000"/>
            </w:tcBorders>
          </w:tcPr>
          <w:p>
            <w:pPr>
              <w:pStyle w:val="81"/>
              <w:numPr>
                <w:ilvl w:val="0"/>
                <w:numId w:val="0"/>
              </w:numPr>
              <w:ind w:hanging="0" w:left="0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>Періодичність: квартальна, річна.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грн,</w:t>
            </w:r>
            <w:r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>
            <w:pPr>
              <w:pStyle w:val="Normal"/>
              <w:snapToGrid w:val="false"/>
              <w:ind w:right="-1185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>
        <w:trPr>
          <w:trHeight w:val="164" w:hRule="atLeast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Видатки та надання кредитів - </w:t>
            </w:r>
            <w:r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940488,00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940488,00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940488,00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false"/>
                <w:sz w:val="16"/>
                <w:szCs w:val="16"/>
                <w:lang w:val="uk-UA"/>
              </w:rPr>
              <w:t>У тому числі:</w:t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940488,00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940488,00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940488,00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>
        <w:trPr>
          <w:trHeight w:val="190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8"/>
                <w:szCs w:val="16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szCs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>
        <w:trPr>
          <w:trHeight w:val="190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120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8"/>
                <w:szCs w:val="16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szCs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Заробітна плата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645013,00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645013,00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645013,00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111"/>
              <w:keepNext w:val="false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1"/>
              <w:ind w:hanging="0" w:left="0"/>
              <w:rPr>
                <w:b w:val="false"/>
                <w:i/>
                <w:i/>
                <w:sz w:val="16"/>
                <w:lang w:val="uk-UA"/>
              </w:rPr>
            </w:pPr>
            <w:r>
              <w:rPr>
                <w:b w:val="false"/>
                <w:i/>
                <w:sz w:val="16"/>
                <w:lang w:val="uk-UA"/>
              </w:rPr>
              <w:t>Нарахування на оплату праці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143401,00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143401,00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143401,00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212"/>
              <w:keepNext w:val="false"/>
              <w:jc w:val="both"/>
              <w:rPr>
                <w:b w:val="false"/>
                <w:i/>
                <w:i/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51360,00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51360,00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51360,00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trHeight w:val="183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0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7971,00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7971,00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7971,00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trHeight w:val="140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0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1650,00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1650,00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1650,00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92"/>
              <w:rPr>
                <w:b w:val="false"/>
                <w:i/>
                <w:i/>
                <w:sz w:val="16"/>
                <w:szCs w:val="16"/>
              </w:rPr>
            </w:pPr>
            <w:r>
              <w:rPr>
                <w:b w:val="false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1"/>
              <w:ind w:hanging="0" w:left="0"/>
              <w:rPr>
                <w:b w:val="false"/>
                <w:i/>
                <w:i/>
                <w:sz w:val="16"/>
                <w:szCs w:val="16"/>
                <w:lang w:val="uk-UA"/>
              </w:rPr>
            </w:pPr>
            <w:r>
              <w:rPr>
                <w:b w:val="false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Оплата теплопостачання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7415,00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7415,00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7415,00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trHeight w:val="110" w:hRule="atLeast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Оплата електроенергії</w:t>
            </w:r>
          </w:p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9871,00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9871,00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9871,00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>
        <w:trPr>
          <w:trHeight w:val="246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Оплата природного газу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73642,00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73642,00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73642,00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ind w:firstLine="124" w:left="-124" w:right="0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ind w:hanging="0" w:left="0"/>
              <w:rPr>
                <w:b w:val="false"/>
                <w:i/>
                <w:i/>
                <w:sz w:val="16"/>
                <w:lang w:val="uk-UA"/>
              </w:rPr>
            </w:pPr>
            <w:r>
              <w:rPr>
                <w:b w:val="false"/>
                <w:sz w:val="16"/>
                <w:lang w:val="uk-UA"/>
              </w:rPr>
              <w:t xml:space="preserve"> </w:t>
            </w:r>
            <w:r>
              <w:rPr>
                <w:b w:val="false"/>
                <w:sz w:val="16"/>
                <w:lang w:val="uk-UA"/>
              </w:rPr>
              <w:t>Оплата інших енергоносіїв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ind w:hanging="0" w:left="0"/>
              <w:rPr>
                <w:b w:val="false"/>
                <w:sz w:val="16"/>
                <w:lang w:val="uk-UA"/>
              </w:rPr>
            </w:pPr>
            <w:r>
              <w:rPr>
                <w:b w:val="false"/>
                <w:sz w:val="16"/>
                <w:lang w:val="uk-UA"/>
              </w:rPr>
              <w:t xml:space="preserve"> </w:t>
            </w:r>
            <w:r>
              <w:rPr>
                <w:b w:val="false"/>
                <w:sz w:val="16"/>
                <w:lang w:val="uk-UA"/>
              </w:rPr>
              <w:t>Оплата енергосервісу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ind w:hanging="0" w:left="0"/>
              <w:jc w:val="both"/>
              <w:rPr>
                <w:b w:val="false"/>
                <w:i/>
                <w:i/>
                <w:sz w:val="16"/>
                <w:szCs w:val="16"/>
                <w:lang w:val="uk-UA"/>
              </w:rPr>
            </w:pPr>
            <w:r>
              <w:rPr>
                <w:b w:val="false"/>
                <w:i/>
                <w:sz w:val="16"/>
                <w:szCs w:val="16"/>
                <w:lang w:val="uk-UA"/>
              </w:rPr>
              <w:t>Дослідження і розробки, 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Cs/>
                <w:iCs/>
                <w:sz w:val="16"/>
              </w:rPr>
              <w:t xml:space="preserve"> </w:t>
            </w:r>
            <w:r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>
            <w:pPr>
              <w:pStyle w:val="Normal"/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35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  <w:iCs/>
                <w:sz w:val="16"/>
              </w:rPr>
              <w:t xml:space="preserve"> </w:t>
            </w:r>
            <w:r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41"/>
              <w:rPr>
                <w:b w:val="false"/>
                <w:i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b w:val="false"/>
                <w:i/>
                <w:color w:val="000000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41"/>
              <w:rPr>
                <w:b w:val="false"/>
                <w:i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b w:val="false"/>
                <w:i/>
                <w:color w:val="000000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41"/>
              <w:rPr/>
            </w:pPr>
            <w:r>
              <w:rPr>
                <w:color w:val="000000"/>
                <w:sz w:val="16"/>
                <w:szCs w:val="16"/>
                <w:lang w:val="uk-UA"/>
              </w:rPr>
              <w:t>Поточні трансферти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0"/>
              <w:jc w:val="both"/>
              <w:rPr/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0"/>
              <w:jc w:val="both"/>
              <w:rPr>
                <w:bCs/>
                <w:i/>
                <w:i/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212"/>
              <w:rPr/>
            </w:pPr>
            <w:r>
              <w:rPr>
                <w:b w:val="false"/>
                <w:i/>
                <w:color w:val="000000"/>
                <w:sz w:val="16"/>
                <w:lang w:val="uk-UA"/>
              </w:rPr>
              <w:t>Поточні трансферти 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165,00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165,00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165,00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111"/>
              <w:rPr>
                <w:i/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Капітальне будівництво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 будівництво (придбання) інших об’єктів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Cs/>
                <w:sz w:val="16"/>
              </w:rPr>
              <w:t>Реконструкція житлового фонду (приміщень)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 </w:t>
            </w:r>
            <w:r>
              <w:rPr>
                <w:bCs/>
                <w:sz w:val="16"/>
              </w:rPr>
              <w:t>Реконструкція та реставрація  інших об’єктів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 </w:t>
            </w:r>
            <w:r>
              <w:rPr>
                <w:bCs/>
                <w:sz w:val="16"/>
              </w:rPr>
              <w:t>Реставрація пам’яток культури, історії та архітектури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i/>
                <w:sz w:val="16"/>
              </w:rPr>
              <w:t xml:space="preserve">Капітальні трансферти підприємствам </w:t>
            </w:r>
            <w:r>
              <w:rPr>
                <w:i/>
                <w:sz w:val="16"/>
                <w:lang w:val="ru-RU"/>
              </w:rPr>
              <w:t>(</w:t>
            </w:r>
            <w:r>
              <w:rPr>
                <w:i/>
                <w:sz w:val="16"/>
              </w:rPr>
              <w:t>установам, організаціям</w:t>
            </w:r>
            <w:r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i/>
                <w:sz w:val="16"/>
              </w:rPr>
              <w:t>Капітальні трансферти 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both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i/>
                <w:i/>
                <w:sz w:val="16"/>
                <w:lang w:eastAsia="ru-RU"/>
              </w:rPr>
            </w:pPr>
            <w:r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>
            <w:pPr>
              <w:pStyle w:val="BodyText"/>
              <w:spacing w:before="0"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/>
            </w:pPr>
            <w:r>
              <w:rPr>
                <w:iCs/>
                <w:sz w:val="16"/>
                <w:lang w:eastAsia="ru-RU"/>
              </w:rPr>
              <w:t xml:space="preserve"> </w:t>
            </w:r>
            <w:r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trHeight w:val="263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/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iCs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i/>
                <w:i/>
                <w:sz w:val="16"/>
                <w:lang w:eastAsia="ru-RU"/>
              </w:rPr>
            </w:pPr>
            <w:r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/>
            </w:pPr>
            <w:r>
              <w:rPr>
                <w:sz w:val="16"/>
                <w:lang w:eastAsia="ru-RU"/>
              </w:rPr>
              <w:t xml:space="preserve"> </w:t>
            </w:r>
            <w:r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>
              <w:rPr>
                <w:sz w:val="16"/>
                <w:lang w:eastAsia="ru-RU"/>
              </w:rPr>
              <w:t>Нерозподілені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>
      <w:pPr>
        <w:pStyle w:val="Normal"/>
        <w:rPr>
          <w:b/>
          <w:sz w:val="8"/>
        </w:rPr>
      </w:pPr>
      <w:r>
        <w:rPr>
          <w:b/>
          <w:sz w:val="8"/>
        </w:rPr>
      </w:r>
    </w:p>
    <w:p>
      <w:pPr>
        <w:pStyle w:val="Normal"/>
        <w:rPr/>
      </w:pPr>
      <w:r>
        <w:rPr>
          <w:sz w:val="16"/>
          <w:vertAlign w:val="superscript"/>
        </w:rPr>
        <w:t>1</w:t>
      </w:r>
      <w:r>
        <w:rPr>
          <w:sz w:val="16"/>
        </w:rPr>
        <w:t>Заповнюється розпорядниками бюджетних коштів.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31"/>
        <w:numPr>
          <w:ilvl w:val="0"/>
          <w:numId w:val="0"/>
        </w:numPr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  <w:tab/>
        <w:tab/>
        <w:tab/>
        <w:tab/>
        <w:tab/>
        <w:t>___________________</w:t>
        <w:tab/>
        <w:tab/>
        <w:tab/>
        <w:t xml:space="preserve">            </w:t>
      </w:r>
      <w:r>
        <w:rPr>
          <w:sz w:val="20"/>
          <w:u w:val="single"/>
        </w:rPr>
        <w:t xml:space="preserve">  _</w:t>
      </w:r>
      <w:r>
        <w:rPr>
          <w:sz w:val="20"/>
          <w:u w:val="single"/>
          <w:lang w:val="ru-RU"/>
        </w:rPr>
        <w:t>С</w:t>
      </w:r>
      <w:r>
        <w:rPr>
          <w:sz w:val="20"/>
          <w:u w:val="single"/>
        </w:rPr>
        <w:t>візінська Н.В.</w:t>
      </w:r>
      <w:r>
        <w:rPr>
          <w:sz w:val="20"/>
          <w:u w:val="single"/>
          <w:lang w:val="ru-RU"/>
        </w:rPr>
        <w:t>_______</w:t>
      </w:r>
    </w:p>
    <w:p>
      <w:pPr>
        <w:pStyle w:val="31"/>
        <w:numPr>
          <w:ilvl w:val="0"/>
          <w:numId w:val="0"/>
        </w:numPr>
        <w:outlineLvl w:val="2"/>
        <w:rPr>
          <w:sz w:val="20"/>
          <w:u w:val="single"/>
          <w:lang w:val="ru-RU"/>
        </w:rPr>
      </w:pPr>
      <w:r>
        <w:rPr>
          <w:sz w:val="20"/>
          <w:u w:val="single"/>
          <w:lang w:val="ru-RU"/>
        </w:rPr>
      </w:r>
    </w:p>
    <w:p>
      <w:pPr>
        <w:pStyle w:val="Normal"/>
        <w:jc w:val="both"/>
        <w:rPr/>
      </w:pPr>
      <w:r>
        <w:rPr>
          <w:sz w:val="16"/>
          <w:szCs w:val="18"/>
        </w:rPr>
        <w:tab/>
        <w:tab/>
        <w:tab/>
        <w:tab/>
        <w:tab/>
        <w:tab/>
        <w:tab/>
        <w:tab/>
        <w:t>(підпис)</w:t>
        <w:tab/>
        <w:tab/>
        <w:tab/>
        <w:tab/>
        <w:tab/>
        <w:tab/>
        <w:t>(ініціали, прізвище)</w:t>
      </w:r>
    </w:p>
    <w:p>
      <w:pPr>
        <w:pStyle w:val="Normal"/>
        <w:jc w:val="both"/>
        <w:rPr>
          <w:sz w:val="20"/>
        </w:rPr>
      </w:pPr>
      <w:r>
        <w:rPr>
          <w:bCs/>
          <w:sz w:val="18"/>
        </w:rPr>
        <w:t>Головний бухгалтер</w:t>
      </w:r>
      <w:r>
        <w:rPr>
          <w:b/>
          <w:bCs/>
          <w:sz w:val="20"/>
        </w:rPr>
        <w:tab/>
      </w:r>
      <w:r>
        <w:rPr>
          <w:sz w:val="20"/>
        </w:rPr>
        <w:tab/>
        <w:tab/>
        <w:tab/>
        <w:tab/>
      </w:r>
      <w:r>
        <w:rPr>
          <w:sz w:val="20"/>
          <w:szCs w:val="20"/>
        </w:rPr>
        <w:t>___________________</w:t>
      </w:r>
      <w:r>
        <w:rPr>
          <w:sz w:val="20"/>
        </w:rPr>
        <w:tab/>
        <w:tab/>
        <w:tab/>
        <w:tab/>
      </w:r>
      <w:r>
        <w:rPr>
          <w:sz w:val="20"/>
          <w:szCs w:val="20"/>
          <w:u w:val="single"/>
        </w:rPr>
        <w:t>_</w:t>
      </w:r>
      <w:r>
        <w:rPr>
          <w:sz w:val="20"/>
          <w:szCs w:val="20"/>
          <w:u w:val="single"/>
          <w:lang w:val="ru-RU"/>
        </w:rPr>
        <w:t>Н.М.Буц</w:t>
      </w:r>
      <w:r>
        <w:rPr>
          <w:sz w:val="20"/>
          <w:szCs w:val="20"/>
          <w:u w:val="single"/>
        </w:rPr>
        <w:t>______________</w:t>
      </w:r>
    </w:p>
    <w:p>
      <w:pPr>
        <w:pStyle w:val="Normal"/>
        <w:jc w:val="both"/>
        <w:rPr/>
      </w:pPr>
      <w:r>
        <w:rPr>
          <w:sz w:val="16"/>
          <w:szCs w:val="18"/>
        </w:rPr>
        <w:tab/>
        <w:tab/>
        <w:tab/>
        <w:tab/>
        <w:tab/>
        <w:tab/>
        <w:tab/>
        <w:tab/>
        <w:t>(підпис)</w:t>
        <w:tab/>
        <w:tab/>
        <w:tab/>
        <w:tab/>
        <w:tab/>
        <w:tab/>
        <w:t>(ініціали, прізвище)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>
        <w:rPr>
          <w:sz w:val="18"/>
          <w:szCs w:val="18"/>
        </w:rPr>
        <w:t>__"_</w:t>
      </w:r>
      <w:r>
        <w:rPr>
          <w:sz w:val="18"/>
          <w:szCs w:val="18"/>
          <w:lang w:val="ru-RU"/>
        </w:rPr>
        <w:t>03</w:t>
      </w:r>
      <w:r>
        <w:rPr>
          <w:sz w:val="18"/>
          <w:szCs w:val="18"/>
        </w:rPr>
        <w:t>_____20</w:t>
      </w:r>
      <w:r>
        <w:rPr>
          <w:sz w:val="18"/>
          <w:szCs w:val="18"/>
          <w:lang w:val="ru-RU"/>
        </w:rPr>
        <w:t>24</w:t>
      </w:r>
      <w:r>
        <w:rPr>
          <w:sz w:val="18"/>
          <w:szCs w:val="18"/>
        </w:rPr>
        <w:t>_року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left" w:pos="2490" w:leader="none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>
      <w:headerReference w:type="default" r:id="rId2"/>
      <w:headerReference w:type="first" r:id="rId3"/>
      <w:type w:val="nextPage"/>
      <w:pgSz w:orient="landscape" w:w="15840" w:h="12240"/>
      <w:pgMar w:left="425" w:right="567" w:gutter="0" w:header="709" w:top="1258" w:footer="0" w:bottom="42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  <w:p>
    <w:pPr>
      <w:pStyle w:val="Header"/>
      <w:jc w:val="right"/>
      <w:rPr/>
    </w:pPr>
    <w:r>
      <w:rPr>
        <w:sz w:val="16"/>
        <w:szCs w:val="16"/>
      </w:rPr>
      <w:t xml:space="preserve">Продовження додатка </w:t>
    </w:r>
    <w:r>
      <w:rPr>
        <w:sz w:val="16"/>
        <w:szCs w:val="16"/>
        <w:lang w:val="en-US"/>
      </w:rPr>
      <w:t>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0"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12"/>
    <w:next w:val="12"/>
    <w:qFormat/>
    <w:pPr>
      <w:keepNext w:val="true"/>
      <w:numPr>
        <w:ilvl w:val="6"/>
        <w:numId w:val="1"/>
      </w:numPr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0"/>
      <w:szCs w:val="20"/>
      <w:lang w:val="en-U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00"/>
      <w:sz w:val="28"/>
      <w:szCs w:val="20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sz w:val="32"/>
      <w:szCs w:val="20"/>
      <w:lang w:val="uk-UA"/>
    </w:rPr>
  </w:style>
  <w:style w:type="character" w:styleId="4">
    <w:name w:val="Заголовок 4 Знак"/>
    <w:qFormat/>
    <w:rPr>
      <w:rFonts w:ascii="Times New Roman" w:hAnsi="Times New Roman" w:eastAsia="Times New Roman" w:cs="Times New Roman"/>
      <w:b/>
      <w:color w:val="000000"/>
      <w:sz w:val="32"/>
      <w:szCs w:val="20"/>
      <w:lang w:val="uk-UA"/>
    </w:rPr>
  </w:style>
  <w:style w:type="character" w:styleId="7">
    <w:name w:val="Заголовок 7 Знак"/>
    <w:qFormat/>
    <w:rPr>
      <w:rFonts w:ascii="Times New Roman" w:hAnsi="Times New Roman" w:eastAsia="Times New Roman" w:cs="Times New Roman"/>
      <w:b/>
      <w:sz w:val="28"/>
      <w:szCs w:val="20"/>
      <w:lang w:val="uk-UA"/>
    </w:rPr>
  </w:style>
  <w:style w:type="character" w:styleId="8">
    <w:name w:val="Заголовок 8 Знак"/>
    <w:qFormat/>
    <w:rPr>
      <w:rFonts w:ascii="Times New Roman" w:hAnsi="Times New Roman" w:eastAsia="Times New Roman" w:cs="Times New Roman"/>
      <w:b/>
      <w:sz w:val="18"/>
      <w:szCs w:val="24"/>
      <w:lang w:val="uk-UA"/>
    </w:rPr>
  </w:style>
  <w:style w:type="character" w:styleId="9">
    <w:name w:val="Заголовок 9 Знак"/>
    <w:qFormat/>
    <w:rPr>
      <w:rFonts w:ascii="Times New Roman" w:hAnsi="Times New Roman" w:eastAsia="Times New Roman" w:cs="Times New Roman"/>
      <w:b/>
      <w:sz w:val="20"/>
      <w:szCs w:val="20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8"/>
      <w:szCs w:val="20"/>
      <w:lang w:val="uk-UA"/>
    </w:rPr>
  </w:style>
  <w:style w:type="character" w:styleId="5">
    <w:name w:val="Заголовок 5 Знак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uk-UA"/>
    </w:rPr>
  </w:style>
  <w:style w:type="character" w:styleId="Style6">
    <w:name w:val="Основной текст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Style7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Style8">
    <w:name w:val="Верхний колонтитул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Style9">
    <w:name w:val="Нижний колонтитул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22">
    <w:name w:val="Основной текст с отступом 2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  <w:lang w:val="uk-UA"/>
    </w:rPr>
  </w:style>
  <w:style w:type="character" w:styleId="Style10">
    <w:name w:val="Название Знак"/>
    <w:qFormat/>
    <w:rPr>
      <w:rFonts w:ascii="Times New Roman" w:hAnsi="Times New Roman" w:eastAsia="Times New Roman" w:cs="Times New Roman"/>
      <w:b/>
      <w:color w:val="000000"/>
      <w:sz w:val="32"/>
      <w:lang w:val="uk-UA"/>
    </w:rPr>
  </w:style>
  <w:style w:type="character" w:styleId="PageNumber">
    <w:name w:val="Page Number"/>
    <w:basedOn w:val="Style5"/>
    <w:rPr/>
  </w:style>
  <w:style w:type="character" w:styleId="18">
    <w:name w:val="Знак18"/>
    <w:qFormat/>
    <w:rPr>
      <w:rFonts w:ascii="Times New Roman" w:hAnsi="Times New Roman" w:eastAsia="Times New Roman" w:cs="Times New Roman"/>
      <w:b/>
      <w:sz w:val="28"/>
      <w:szCs w:val="20"/>
      <w:lang w:val="ru-RU"/>
    </w:rPr>
  </w:style>
  <w:style w:type="character" w:styleId="17">
    <w:name w:val="Знак17"/>
    <w:qFormat/>
    <w:rPr>
      <w:rFonts w:ascii="Times New Roman" w:hAnsi="Times New Roman" w:eastAsia="Times New Roman" w:cs="Times New Roman"/>
      <w:b/>
      <w:color w:val="000000"/>
      <w:sz w:val="28"/>
      <w:szCs w:val="20"/>
      <w:lang w:val="ru-RU"/>
    </w:rPr>
  </w:style>
  <w:style w:type="character" w:styleId="15">
    <w:name w:val="Знак15"/>
    <w:qFormat/>
    <w:rPr>
      <w:rFonts w:ascii="Times New Roman" w:hAnsi="Times New Roman" w:eastAsia="Times New Roman" w:cs="Times New Roman"/>
      <w:b/>
      <w:sz w:val="32"/>
      <w:szCs w:val="20"/>
      <w:lang w:val="uk-UA"/>
    </w:rPr>
  </w:style>
  <w:style w:type="character" w:styleId="14">
    <w:name w:val="Знак14"/>
    <w:qFormat/>
    <w:rPr>
      <w:rFonts w:ascii="Times New Roman" w:hAnsi="Times New Roman" w:eastAsia="Times New Roman" w:cs="Times New Roman"/>
      <w:b/>
      <w:color w:val="000000"/>
      <w:sz w:val="32"/>
      <w:szCs w:val="20"/>
      <w:lang w:val="uk-UA"/>
    </w:rPr>
  </w:style>
  <w:style w:type="character" w:styleId="13">
    <w:name w:val="Знак13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uk-UA"/>
    </w:rPr>
  </w:style>
  <w:style w:type="character" w:styleId="11">
    <w:name w:val="Знак11"/>
    <w:qFormat/>
    <w:rPr>
      <w:rFonts w:ascii="Times New Roman" w:hAnsi="Times New Roman" w:eastAsia="Times New Roman" w:cs="Times New Roman"/>
      <w:b/>
      <w:sz w:val="28"/>
      <w:szCs w:val="20"/>
      <w:lang w:val="uk-UA"/>
    </w:rPr>
  </w:style>
  <w:style w:type="character" w:styleId="91">
    <w:name w:val="Знак9"/>
    <w:qFormat/>
    <w:rPr>
      <w:rFonts w:ascii="Times New Roman" w:hAnsi="Times New Roman" w:eastAsia="Times New Roman" w:cs="Times New Roman"/>
      <w:b/>
      <w:sz w:val="20"/>
      <w:szCs w:val="20"/>
    </w:rPr>
  </w:style>
  <w:style w:type="character" w:styleId="61">
    <w:name w:val="Знак6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paragraph" w:styleId="Heading">
    <w:name w:val="Heading"/>
    <w:basedOn w:val="Normal"/>
    <w:next w:val="BodyText"/>
    <w:qFormat/>
    <w:pPr>
      <w:jc w:val="center"/>
    </w:pPr>
    <w:rPr>
      <w:b/>
      <w:color w:val="000000"/>
      <w:sz w:val="32"/>
      <w:szCs w:val="20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12">
    <w:name w:val="Обычный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51">
    <w:name w:val="заголовок 51"/>
    <w:basedOn w:val="12"/>
    <w:next w:val="12"/>
    <w:qFormat/>
    <w:pPr>
      <w:keepNext w:val="true"/>
    </w:pPr>
    <w:rPr>
      <w:sz w:val="24"/>
      <w:lang w:val="uk-UA"/>
    </w:rPr>
  </w:style>
  <w:style w:type="paragraph" w:styleId="42">
    <w:name w:val="заголовок 42"/>
    <w:basedOn w:val="12"/>
    <w:next w:val="12"/>
    <w:qFormat/>
    <w:pPr>
      <w:keepNext w:val="true"/>
    </w:pPr>
    <w:rPr>
      <w:sz w:val="28"/>
    </w:rPr>
  </w:style>
  <w:style w:type="paragraph" w:styleId="31">
    <w:name w:val="заголовок 3"/>
    <w:basedOn w:val="Normal"/>
    <w:next w:val="Normal"/>
    <w:qFormat/>
    <w:pPr>
      <w:keepNext w:val="true"/>
      <w:jc w:val="both"/>
    </w:pPr>
    <w:rPr>
      <w:szCs w:val="20"/>
    </w:rPr>
  </w:style>
  <w:style w:type="paragraph" w:styleId="211">
    <w:name w:val="Основной текст 21"/>
    <w:basedOn w:val="Normal"/>
    <w:qFormat/>
    <w:pPr>
      <w:widowControl w:val="false"/>
      <w:jc w:val="center"/>
    </w:pPr>
    <w:rPr>
      <w:szCs w:val="20"/>
      <w:lang w:val="ru-RU"/>
    </w:rPr>
  </w:style>
  <w:style w:type="paragraph" w:styleId="23">
    <w:name w:val="Основной текст 2"/>
    <w:basedOn w:val="Normal"/>
    <w:qFormat/>
    <w:pPr>
      <w:ind w:firstLine="720" w:left="0" w:right="74"/>
      <w:jc w:val="both"/>
    </w:pPr>
    <w:rPr>
      <w:sz w:val="28"/>
      <w:szCs w:val="20"/>
    </w:rPr>
  </w:style>
  <w:style w:type="paragraph" w:styleId="111">
    <w:name w:val="заголовок 11"/>
    <w:basedOn w:val="Normal"/>
    <w:next w:val="Normal"/>
    <w:qFormat/>
    <w:pPr>
      <w:keepNext w:val="true"/>
    </w:pPr>
    <w:rPr>
      <w:color w:val="000000"/>
      <w:szCs w:val="20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24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11">
    <w:name w:val="Цитата"/>
    <w:basedOn w:val="Normal"/>
    <w:qFormat/>
    <w:pPr>
      <w:ind w:hanging="0" w:left="4320" w:right="-483"/>
    </w:pPr>
    <w:rPr>
      <w:sz w:val="28"/>
      <w:szCs w:val="20"/>
    </w:rPr>
  </w:style>
  <w:style w:type="paragraph" w:styleId="112">
    <w:name w:val="Заголовок 11"/>
    <w:basedOn w:val="12"/>
    <w:next w:val="12"/>
    <w:qFormat/>
    <w:pPr>
      <w:keepNext w:val="true"/>
      <w:outlineLvl w:val="0"/>
    </w:pPr>
    <w:rPr>
      <w:b/>
      <w:color w:val="000000"/>
    </w:rPr>
  </w:style>
  <w:style w:type="paragraph" w:styleId="212">
    <w:name w:val="заголовок 21"/>
    <w:basedOn w:val="Normal"/>
    <w:next w:val="Normal"/>
    <w:qFormat/>
    <w:pPr>
      <w:keepNext w:val="true"/>
    </w:pPr>
    <w:rPr>
      <w:b/>
      <w:color w:val="000000"/>
      <w:szCs w:val="20"/>
      <w:lang w:val="ru-RU"/>
    </w:rPr>
  </w:style>
  <w:style w:type="paragraph" w:styleId="41">
    <w:name w:val="заголовок 41"/>
    <w:basedOn w:val="Normal"/>
    <w:next w:val="Normal"/>
    <w:qFormat/>
    <w:pPr>
      <w:keepNext w:val="true"/>
    </w:pPr>
    <w:rPr>
      <w:b/>
      <w:color w:val="000000"/>
      <w:sz w:val="26"/>
      <w:szCs w:val="20"/>
      <w:lang w:val="ru-RU"/>
    </w:rPr>
  </w:style>
  <w:style w:type="paragraph" w:styleId="16">
    <w:name w:val="заголовок 1"/>
    <w:basedOn w:val="Normal"/>
    <w:next w:val="Normal"/>
    <w:qFormat/>
    <w:pPr>
      <w:keepNext w:val="true"/>
      <w:ind w:hanging="0" w:left="0" w:right="-1185"/>
    </w:pPr>
    <w:rPr>
      <w:szCs w:val="20"/>
    </w:rPr>
  </w:style>
  <w:style w:type="paragraph" w:styleId="92">
    <w:name w:val="заголовок 9"/>
    <w:basedOn w:val="Normal"/>
    <w:next w:val="Normal"/>
    <w:qFormat/>
    <w:pPr>
      <w:keepNext w:val="true"/>
      <w:jc w:val="both"/>
    </w:pPr>
    <w:rPr>
      <w:b/>
      <w:color w:val="000000"/>
      <w:sz w:val="28"/>
      <w:szCs w:val="20"/>
    </w:rPr>
  </w:style>
  <w:style w:type="paragraph" w:styleId="81">
    <w:name w:val="заголовок 8"/>
    <w:basedOn w:val="Normal"/>
    <w:next w:val="Normal"/>
    <w:qFormat/>
    <w:pPr>
      <w:keepNext w:val="true"/>
      <w:autoSpaceDE w:val="false"/>
      <w:ind w:hanging="0" w:left="0" w:right="-1185"/>
      <w:jc w:val="both"/>
    </w:pPr>
    <w:rPr>
      <w:sz w:val="20"/>
      <w:lang w:val="ru-RU"/>
    </w:rPr>
  </w:style>
  <w:style w:type="paragraph" w:styleId="311">
    <w:name w:val="заголовок 31"/>
    <w:basedOn w:val="Normal"/>
    <w:next w:val="Normal"/>
    <w:qFormat/>
    <w:pPr>
      <w:keepNext w:val="true"/>
      <w:ind w:hanging="426" w:left="0" w:right="0"/>
      <w:jc w:val="center"/>
    </w:pPr>
    <w:rPr>
      <w:b/>
      <w:color w:val="000000"/>
      <w:sz w:val="28"/>
      <w:szCs w:val="20"/>
      <w:lang w:val="ru-RU"/>
    </w:rPr>
  </w:style>
  <w:style w:type="paragraph" w:styleId="43">
    <w:name w:val="заголовок 4"/>
    <w:basedOn w:val="Normal"/>
    <w:next w:val="Normal"/>
    <w:qFormat/>
    <w:pPr>
      <w:keepNext w:val="true"/>
      <w:autoSpaceDE w:val="false"/>
    </w:pPr>
    <w:rPr>
      <w:b/>
      <w:bCs/>
      <w:sz w:val="20"/>
      <w:lang w:val="ru-RU"/>
    </w:rPr>
  </w:style>
  <w:style w:type="paragraph" w:styleId="25">
    <w:name w:val="заголовок 2"/>
    <w:basedOn w:val="Normal"/>
    <w:next w:val="Normal"/>
    <w:qFormat/>
    <w:pPr>
      <w:keepNext w:val="true"/>
      <w:autoSpaceDE w:val="false"/>
    </w:pPr>
    <w:rPr>
      <w:b/>
      <w:bCs/>
      <w:color w:val="000000"/>
      <w:sz w:val="28"/>
      <w:szCs w:val="28"/>
      <w:lang w:val="ru-RU"/>
    </w:rPr>
  </w:style>
  <w:style w:type="paragraph" w:styleId="71">
    <w:name w:val="заголовок 7"/>
    <w:basedOn w:val="Normal"/>
    <w:next w:val="Normal"/>
    <w:qFormat/>
    <w:pPr>
      <w:keepNext w:val="true"/>
      <w:jc w:val="center"/>
    </w:pPr>
    <w:rPr>
      <w:b/>
      <w:sz w:val="28"/>
      <w:szCs w:val="20"/>
    </w:rPr>
  </w:style>
  <w:style w:type="paragraph" w:styleId="Style12">
    <w:name w:val="Название объекта"/>
    <w:basedOn w:val="Normal"/>
    <w:next w:val="Normal"/>
    <w:qFormat/>
    <w:pPr/>
    <w:rPr>
      <w:b/>
      <w:color w:val="000000"/>
      <w:sz w:val="20"/>
      <w:szCs w:val="20"/>
      <w:lang w:val="ru-RU"/>
    </w:rPr>
  </w:style>
  <w:style w:type="paragraph" w:styleId="Style1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6">
    <w:name w:val="Обычный2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19">
    <w:name w:val="Звичайний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213">
    <w:name w:val="Основний текст 21"/>
    <w:basedOn w:val="Normal"/>
    <w:qFormat/>
    <w:pPr>
      <w:widowControl w:val="false"/>
      <w:jc w:val="center"/>
    </w:pPr>
    <w:rPr>
      <w:szCs w:val="20"/>
      <w:lang w:val="ru-RU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2017-09-25T16:32:00Z</dcterms:created>
  <dc:creator>h_klutchnik</dc:creator>
  <dc:description/>
  <cp:keywords/>
  <dc:language>en-US</dc:language>
  <cp:lastModifiedBy>Пользователь</cp:lastModifiedBy>
  <cp:lastPrinted>2017-08-22T09:28:00Z</cp:lastPrinted>
  <dcterms:modified xsi:type="dcterms:W3CDTF">2024-04-03T13:59:00Z</dcterms:modified>
  <cp:revision>168</cp:revision>
  <dc:subject/>
  <dc:title>Про затвердження Порядку складання фінансової та бюджетної звітності розпорядниками та одержувачами бюджетних коштів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Valid">
    <vt:lpwstr>Чинний</vt:lpwstr>
  </property>
  <property fmtid="{D5CDD505-2E9C-101B-9397-08002B2CF9AE}" pid="3" name="Title">
    <vt:lpwstr>44_24012012</vt:lpwstr>
  </property>
  <property fmtid="{D5CDD505-2E9C-101B-9397-08002B2CF9AE}" pid="4" name="WorkflowCreationPath">
    <vt:lpwstr>419d54cb-f2ea-41fb-b1f6-f7d0943e63e7,2;</vt:lpwstr>
  </property>
  <property fmtid="{D5CDD505-2E9C-101B-9397-08002B2CF9AE}" pid="5" name="_dlc_DocId">
    <vt:lpwstr>MFWF-3-253</vt:lpwstr>
  </property>
  <property fmtid="{D5CDD505-2E9C-101B-9397-08002B2CF9AE}" pid="6" name="_dlc_DocIdItemGuid">
    <vt:lpwstr>e1c54688-77a3-404b-aa3b-1bc2773aaeb6</vt:lpwstr>
  </property>
  <property fmtid="{D5CDD505-2E9C-101B-9397-08002B2CF9AE}" pid="7" name="_dlc_DocIdUrl">
    <vt:lpwstr>http://workflow/_layouts/DocIdRedir.aspx?ID=MFWF-3-253, MFWF-3-253</vt:lpwstr>
  </property>
  <property fmtid="{D5CDD505-2E9C-101B-9397-08002B2CF9AE}" pid="8" name="_docset_NoMedatataSyncRequired">
    <vt:lpwstr>True</vt:lpwstr>
  </property>
  <property fmtid="{D5CDD505-2E9C-101B-9397-08002B2CF9AE}" pid="9" name="Дата реєстрації">
    <vt:lpwstr>2012-01-23T23:00:00Z</vt:lpwstr>
  </property>
  <property fmtid="{D5CDD505-2E9C-101B-9397-08002B2CF9AE}" pid="10" name="Підрозділ-автор">
    <vt:lpwstr>04000</vt:lpwstr>
  </property>
  <property fmtid="{D5CDD505-2E9C-101B-9397-08002B2CF9AE}" pid="11" name="Реєстраційний номер">
    <vt:lpwstr>44</vt:lpwstr>
  </property>
  <property fmtid="{D5CDD505-2E9C-101B-9397-08002B2CF9AE}" pid="12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</Properties>
</file>